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427E2" w14:textId="77777777" w:rsidR="004A77A6" w:rsidRDefault="00000000" w:rsidP="0099639A">
      <w:pPr>
        <w:overflowPunct w:val="0"/>
        <w:spacing w:line="360" w:lineRule="auto"/>
        <w:rPr>
          <w:rFonts w:ascii="Times New Roman" w:eastAsia="宋体" w:hAnsi="Times New Roman" w:cs="Times New Roman"/>
          <w:b/>
          <w:sz w:val="28"/>
          <w:szCs w:val="28"/>
        </w:rPr>
      </w:pPr>
      <w:bookmarkStart w:id="0" w:name="_Hlk173940456"/>
      <w:r>
        <w:rPr>
          <w:rFonts w:ascii="Times New Roman" w:eastAsia="宋体" w:hAnsi="Times New Roman" w:cs="Times New Roman" w:hint="eastAsia"/>
          <w:b/>
          <w:sz w:val="28"/>
          <w:szCs w:val="28"/>
        </w:rPr>
        <w:t>附件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2</w:t>
      </w:r>
    </w:p>
    <w:p w14:paraId="4FFABAC7" w14:textId="77777777" w:rsidR="004A77A6" w:rsidRPr="0099639A" w:rsidRDefault="00000000" w:rsidP="0099639A">
      <w:pPr>
        <w:overflowPunct w:val="0"/>
        <w:spacing w:line="360" w:lineRule="auto"/>
        <w:ind w:firstLineChars="200" w:firstLine="602"/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 w:rsidRPr="0099639A">
        <w:rPr>
          <w:rFonts w:ascii="Times New Roman" w:eastAsia="宋体" w:hAnsi="Times New Roman" w:cs="Times New Roman" w:hint="eastAsia"/>
          <w:b/>
          <w:sz w:val="30"/>
          <w:szCs w:val="30"/>
        </w:rPr>
        <w:t>会议征文摘要投稿要求及模版</w:t>
      </w:r>
    </w:p>
    <w:p w14:paraId="60DC4E8A" w14:textId="77777777" w:rsidR="004A77A6" w:rsidRDefault="00000000" w:rsidP="0099639A">
      <w:pPr>
        <w:overflowPunct w:val="0"/>
        <w:topLinePunct/>
        <w:spacing w:line="360" w:lineRule="auto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一、摘要投稿要求</w:t>
      </w:r>
    </w:p>
    <w:p w14:paraId="7EBDF3B3" w14:textId="77777777" w:rsidR="004A77A6" w:rsidRDefault="00000000" w:rsidP="0099639A">
      <w:pPr>
        <w:kinsoku w:val="0"/>
        <w:overflowPunct w:val="0"/>
        <w:topLinePunct/>
        <w:autoSpaceDE w:val="0"/>
        <w:autoSpaceDN w:val="0"/>
        <w:adjustRightInd w:val="0"/>
        <w:snapToGrid w:val="0"/>
        <w:spacing w:line="360" w:lineRule="auto"/>
        <w:ind w:firstLine="470"/>
        <w:textAlignment w:val="baseline"/>
        <w:rPr>
          <w:rFonts w:ascii="宋体" w:eastAsia="宋体" w:hAnsi="宋体" w:cs="宋体" w:hint="eastAsia"/>
          <w:snapToGrid w:val="0"/>
          <w:spacing w:val="-8"/>
          <w:kern w:val="0"/>
          <w:sz w:val="25"/>
          <w:szCs w:val="25"/>
        </w:rPr>
      </w:pPr>
      <w:r>
        <w:rPr>
          <w:rFonts w:ascii="宋体" w:eastAsia="宋体" w:hAnsi="宋体" w:cs="宋体" w:hint="eastAsia"/>
          <w:snapToGrid w:val="0"/>
          <w:spacing w:val="-8"/>
          <w:kern w:val="0"/>
          <w:sz w:val="25"/>
          <w:szCs w:val="25"/>
        </w:rPr>
        <w:t>用中、英文撰写均可，以</w:t>
      </w:r>
      <w:r>
        <w:rPr>
          <w:rFonts w:ascii="Times New Roman" w:eastAsia="宋体" w:hAnsi="Times New Roman" w:cs="Times New Roman"/>
          <w:snapToGrid w:val="0"/>
          <w:spacing w:val="-8"/>
          <w:kern w:val="0"/>
          <w:sz w:val="25"/>
          <w:szCs w:val="25"/>
        </w:rPr>
        <w:t>word</w:t>
      </w:r>
      <w:r>
        <w:rPr>
          <w:rFonts w:ascii="Times New Roman" w:eastAsia="宋体" w:hAnsi="Times New Roman" w:cs="Times New Roman" w:hint="eastAsia"/>
          <w:snapToGrid w:val="0"/>
          <w:spacing w:val="-8"/>
          <w:kern w:val="0"/>
          <w:sz w:val="25"/>
          <w:szCs w:val="25"/>
        </w:rPr>
        <w:t>（</w:t>
      </w:r>
      <w:r>
        <w:rPr>
          <w:rFonts w:ascii="Times New Roman" w:eastAsia="宋体" w:hAnsi="Times New Roman" w:cs="Times New Roman"/>
          <w:snapToGrid w:val="0"/>
          <w:spacing w:val="-8"/>
          <w:kern w:val="0"/>
          <w:sz w:val="25"/>
          <w:szCs w:val="25"/>
        </w:rPr>
        <w:t>.doc</w:t>
      </w:r>
      <w:r>
        <w:rPr>
          <w:rFonts w:ascii="Times New Roman" w:eastAsia="宋体" w:hAnsi="Times New Roman" w:cs="Times New Roman" w:hint="eastAsia"/>
          <w:snapToGrid w:val="0"/>
          <w:spacing w:val="-8"/>
          <w:kern w:val="0"/>
          <w:sz w:val="25"/>
          <w:szCs w:val="25"/>
        </w:rPr>
        <w:t>或</w:t>
      </w:r>
      <w:r>
        <w:rPr>
          <w:rFonts w:ascii="Times New Roman" w:eastAsia="宋体" w:hAnsi="Times New Roman" w:cs="Times New Roman"/>
          <w:snapToGrid w:val="0"/>
          <w:spacing w:val="-8"/>
          <w:kern w:val="0"/>
          <w:sz w:val="25"/>
          <w:szCs w:val="25"/>
        </w:rPr>
        <w:t>.docx</w:t>
      </w:r>
      <w:r>
        <w:rPr>
          <w:rFonts w:ascii="Times New Roman" w:eastAsia="宋体" w:hAnsi="Times New Roman" w:cs="Times New Roman" w:hint="eastAsia"/>
          <w:snapToGrid w:val="0"/>
          <w:spacing w:val="-8"/>
          <w:kern w:val="0"/>
          <w:sz w:val="25"/>
          <w:szCs w:val="25"/>
        </w:rPr>
        <w:t>）格式，字数限</w:t>
      </w:r>
      <w:r>
        <w:rPr>
          <w:rFonts w:ascii="Times New Roman" w:eastAsia="宋体" w:hAnsi="Times New Roman" w:cs="Times New Roman"/>
          <w:snapToGrid w:val="0"/>
          <w:spacing w:val="-8"/>
          <w:kern w:val="0"/>
          <w:sz w:val="25"/>
          <w:szCs w:val="25"/>
        </w:rPr>
        <w:t>800</w:t>
      </w:r>
      <w:r>
        <w:rPr>
          <w:rFonts w:ascii="Times New Roman" w:eastAsia="宋体" w:hAnsi="Times New Roman" w:cs="Times New Roman" w:hint="eastAsia"/>
          <w:snapToGrid w:val="0"/>
          <w:spacing w:val="-8"/>
          <w:kern w:val="0"/>
          <w:sz w:val="25"/>
          <w:szCs w:val="25"/>
        </w:rPr>
        <w:t>字以内。内容包括论文题目、作者姓名、工作单位、通讯地址、邮政编码、电话和</w:t>
      </w:r>
      <w:r>
        <w:rPr>
          <w:rFonts w:ascii="Times New Roman" w:eastAsia="宋体" w:hAnsi="Times New Roman" w:cs="Times New Roman"/>
          <w:snapToGrid w:val="0"/>
          <w:spacing w:val="-8"/>
          <w:kern w:val="0"/>
          <w:sz w:val="25"/>
          <w:szCs w:val="25"/>
        </w:rPr>
        <w:t>E-mail</w:t>
      </w:r>
      <w:r>
        <w:rPr>
          <w:rFonts w:ascii="Times New Roman" w:eastAsia="宋体" w:hAnsi="Times New Roman" w:cs="Times New Roman" w:hint="eastAsia"/>
          <w:snapToGrid w:val="0"/>
          <w:spacing w:val="-8"/>
          <w:kern w:val="0"/>
          <w:sz w:val="25"/>
          <w:szCs w:val="25"/>
        </w:rPr>
        <w:t>地址、目的、方法、结果与结论。格式要求：篇名需简明、切题，不用副题，以不超过</w:t>
      </w:r>
      <w:r>
        <w:rPr>
          <w:rFonts w:ascii="Times New Roman" w:eastAsia="宋体" w:hAnsi="Times New Roman" w:cs="Times New Roman"/>
          <w:snapToGrid w:val="0"/>
          <w:spacing w:val="-8"/>
          <w:kern w:val="0"/>
          <w:sz w:val="25"/>
          <w:szCs w:val="25"/>
        </w:rPr>
        <w:t>20</w:t>
      </w:r>
      <w:r>
        <w:rPr>
          <w:rFonts w:ascii="Times New Roman" w:eastAsia="宋体" w:hAnsi="Times New Roman" w:cs="Times New Roman" w:hint="eastAsia"/>
          <w:snapToGrid w:val="0"/>
          <w:spacing w:val="-8"/>
          <w:kern w:val="0"/>
          <w:sz w:val="25"/>
          <w:szCs w:val="25"/>
        </w:rPr>
        <w:t>字为宜。排版：中文，五号宋体，单倍行距；英文字符用五号，</w:t>
      </w:r>
      <w:r>
        <w:rPr>
          <w:rFonts w:ascii="Times New Roman" w:eastAsia="宋体" w:hAnsi="Times New Roman" w:cs="Times New Roman"/>
          <w:snapToGrid w:val="0"/>
          <w:spacing w:val="-8"/>
          <w:kern w:val="0"/>
          <w:sz w:val="25"/>
          <w:szCs w:val="25"/>
        </w:rPr>
        <w:t>Times New Roman</w:t>
      </w:r>
      <w:r>
        <w:rPr>
          <w:rFonts w:ascii="宋体" w:eastAsia="宋体" w:hAnsi="宋体" w:cs="宋体" w:hint="eastAsia"/>
          <w:snapToGrid w:val="0"/>
          <w:spacing w:val="-8"/>
          <w:kern w:val="0"/>
          <w:sz w:val="25"/>
          <w:szCs w:val="25"/>
        </w:rPr>
        <w:t>字体，单倍行距。摘要格式请参考附件2。摘要发送至学会邮箱</w:t>
      </w:r>
      <w:r>
        <w:rPr>
          <w:rFonts w:ascii="Times New Roman" w:eastAsia="宋体" w:hAnsi="Times New Roman" w:cs="Times New Roman"/>
          <w:snapToGrid w:val="0"/>
          <w:spacing w:val="-8"/>
          <w:kern w:val="0"/>
          <w:sz w:val="25"/>
          <w:szCs w:val="25"/>
        </w:rPr>
        <w:t>GXYLXH2024@163.COM</w:t>
      </w:r>
      <w:r>
        <w:rPr>
          <w:rFonts w:ascii="宋体" w:eastAsia="宋体" w:hAnsi="宋体" w:cs="宋体" w:hint="eastAsia"/>
          <w:snapToGrid w:val="0"/>
          <w:spacing w:val="-8"/>
          <w:kern w:val="0"/>
          <w:sz w:val="25"/>
          <w:szCs w:val="25"/>
        </w:rPr>
        <w:t>，注明“2025药物创新学术研讨会投稿（摘要）”。</w:t>
      </w:r>
    </w:p>
    <w:p w14:paraId="0E19317B" w14:textId="77777777" w:rsidR="004A77A6" w:rsidRDefault="00000000" w:rsidP="0099639A">
      <w:pPr>
        <w:overflowPunct w:val="0"/>
        <w:topLinePunct/>
        <w:spacing w:line="360" w:lineRule="auto"/>
        <w:rPr>
          <w:rFonts w:ascii="Times New Roman" w:eastAsia="宋体" w:hAnsi="Times New Roman" w:cs="Times New Roman"/>
          <w:b/>
          <w:sz w:val="28"/>
          <w:szCs w:val="24"/>
        </w:rPr>
      </w:pPr>
      <w:r>
        <w:rPr>
          <w:rFonts w:ascii="Times New Roman" w:eastAsia="宋体" w:hAnsi="Times New Roman" w:cs="Times New Roman" w:hint="eastAsia"/>
          <w:b/>
          <w:sz w:val="28"/>
          <w:szCs w:val="24"/>
        </w:rPr>
        <w:t>二、摘要投稿模板</w:t>
      </w:r>
    </w:p>
    <w:p w14:paraId="778BF12E" w14:textId="77777777" w:rsidR="004A77A6" w:rsidRDefault="00000000" w:rsidP="0099639A">
      <w:pPr>
        <w:overflowPunct w:val="0"/>
        <w:topLinePunct/>
        <w:spacing w:line="440" w:lineRule="exact"/>
        <w:jc w:val="center"/>
        <w:rPr>
          <w:rFonts w:ascii="宋体" w:eastAsia="宋体" w:hAnsi="宋体" w:cs="Times New Roman" w:hint="eastAsia"/>
          <w:b/>
          <w:bCs/>
          <w:sz w:val="28"/>
          <w:szCs w:val="28"/>
        </w:rPr>
      </w:pPr>
      <w:r>
        <w:rPr>
          <w:rFonts w:ascii="宋体" w:eastAsia="宋体" w:hAnsi="宋体" w:cs="Times New Roman"/>
          <w:b/>
          <w:bCs/>
          <w:sz w:val="28"/>
          <w:szCs w:val="28"/>
        </w:rPr>
        <w:t>獐牙菜苦苷通过TLR4/NF-κB信号通路</w:t>
      </w:r>
      <w:r>
        <w:rPr>
          <w:rFonts w:ascii="宋体" w:eastAsia="宋体" w:hAnsi="宋体" w:cs="Times New Roman" w:hint="eastAsia"/>
          <w:b/>
          <w:bCs/>
          <w:sz w:val="28"/>
          <w:szCs w:val="28"/>
        </w:rPr>
        <w:t>减轻</w:t>
      </w:r>
      <w:r>
        <w:rPr>
          <w:rFonts w:ascii="宋体" w:eastAsia="宋体" w:hAnsi="宋体" w:cs="Times New Roman"/>
          <w:b/>
          <w:bCs/>
          <w:sz w:val="28"/>
          <w:szCs w:val="28"/>
        </w:rPr>
        <w:t>急性肺损伤的作用机制研究</w:t>
      </w:r>
    </w:p>
    <w:p w14:paraId="4EB06613" w14:textId="77777777" w:rsidR="004A77A6" w:rsidRDefault="00000000" w:rsidP="0099639A">
      <w:pPr>
        <w:overflowPunct w:val="0"/>
        <w:topLinePunct/>
        <w:spacing w:line="440" w:lineRule="exact"/>
        <w:jc w:val="center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  <w:u w:val="single"/>
        </w:rPr>
        <w:t>（</w:t>
      </w:r>
      <w:r>
        <w:rPr>
          <w:rFonts w:ascii="Times New Roman" w:eastAsia="宋体" w:hAnsi="Times New Roman" w:cs="Times New Roman"/>
          <w:b/>
          <w:bCs/>
          <w:spacing w:val="-5"/>
          <w:sz w:val="28"/>
          <w:szCs w:val="28"/>
          <w:u w:val="single"/>
        </w:rPr>
        <w:t>题目：宋体</w:t>
      </w:r>
      <w:r>
        <w:rPr>
          <w:rFonts w:ascii="Times New Roman" w:eastAsia="宋体" w:hAnsi="Times New Roman" w:cs="Times New Roman" w:hint="eastAsia"/>
          <w:b/>
          <w:bCs/>
          <w:spacing w:val="-5"/>
          <w:sz w:val="28"/>
          <w:szCs w:val="28"/>
          <w:u w:val="single"/>
        </w:rPr>
        <w:t xml:space="preserve"> </w:t>
      </w:r>
      <w:r>
        <w:rPr>
          <w:rFonts w:ascii="Times New Roman" w:eastAsia="宋体" w:hAnsi="Times New Roman" w:cs="Times New Roman"/>
          <w:b/>
          <w:bCs/>
          <w:spacing w:val="-5"/>
          <w:sz w:val="28"/>
          <w:szCs w:val="28"/>
          <w:u w:val="single"/>
        </w:rPr>
        <w:t>四号</w:t>
      </w:r>
      <w:r>
        <w:rPr>
          <w:rFonts w:ascii="Times New Roman" w:eastAsia="宋体" w:hAnsi="Times New Roman" w:cs="Times New Roman" w:hint="eastAsia"/>
          <w:b/>
          <w:bCs/>
          <w:spacing w:val="-5"/>
          <w:sz w:val="28"/>
          <w:szCs w:val="28"/>
          <w:u w:val="single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spacing w:val="-5"/>
          <w:sz w:val="28"/>
          <w:szCs w:val="28"/>
          <w:u w:val="single"/>
        </w:rPr>
        <w:t>加粗</w:t>
      </w:r>
      <w:r>
        <w:rPr>
          <w:rFonts w:ascii="Times New Roman" w:eastAsia="宋体" w:hAnsi="Times New Roman" w:cs="Times New Roman" w:hint="eastAsia"/>
          <w:b/>
          <w:bCs/>
          <w:spacing w:val="-5"/>
          <w:sz w:val="28"/>
          <w:szCs w:val="28"/>
          <w:u w:val="single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spacing w:val="-5"/>
          <w:sz w:val="28"/>
          <w:szCs w:val="28"/>
          <w:u w:val="single"/>
        </w:rPr>
        <w:t>居中</w:t>
      </w:r>
      <w:r>
        <w:rPr>
          <w:rFonts w:ascii="Times New Roman" w:eastAsia="宋体" w:hAnsi="Times New Roman" w:cs="Times New Roman"/>
          <w:b/>
          <w:bCs/>
          <w:sz w:val="28"/>
          <w:szCs w:val="28"/>
          <w:u w:val="single"/>
        </w:rPr>
        <w:t>）</w:t>
      </w:r>
    </w:p>
    <w:p w14:paraId="6048C430" w14:textId="77777777" w:rsidR="004A77A6" w:rsidRDefault="00000000" w:rsidP="0099639A">
      <w:pPr>
        <w:overflowPunct w:val="0"/>
        <w:topLinePunct/>
        <w:spacing w:line="440" w:lineRule="exact"/>
        <w:jc w:val="center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</w:rPr>
        <w:t>范</w:t>
      </w:r>
      <w:r>
        <w:rPr>
          <w:rFonts w:ascii="Times New Roman" w:eastAsia="宋体" w:hAnsi="Times New Roman" w:cs="Times New Roman" w:hint="eastAsia"/>
        </w:rPr>
        <w:t>XX</w:t>
      </w:r>
      <w:r>
        <w:rPr>
          <w:rFonts w:ascii="Times New Roman" w:eastAsia="宋体" w:hAnsi="Times New Roman" w:cs="Times New Roman" w:hint="eastAsia"/>
        </w:rPr>
        <w:t>，彭</w:t>
      </w:r>
      <w:r>
        <w:rPr>
          <w:rFonts w:ascii="Times New Roman" w:eastAsia="宋体" w:hAnsi="Times New Roman" w:cs="Times New Roman" w:hint="eastAsia"/>
        </w:rPr>
        <w:t>XX</w:t>
      </w:r>
      <w:r>
        <w:rPr>
          <w:rFonts w:ascii="Times New Roman" w:eastAsia="宋体" w:hAnsi="Times New Roman" w:cs="Times New Roman" w:hint="eastAsia"/>
        </w:rPr>
        <w:t>，张</w:t>
      </w:r>
      <w:r>
        <w:rPr>
          <w:rFonts w:ascii="Times New Roman" w:eastAsia="宋体" w:hAnsi="Times New Roman" w:cs="Times New Roman" w:hint="eastAsia"/>
        </w:rPr>
        <w:t>XX</w:t>
      </w:r>
      <w:r>
        <w:rPr>
          <w:rFonts w:ascii="Times New Roman" w:eastAsia="宋体" w:hAnsi="Times New Roman" w:cs="Times New Roman"/>
          <w:szCs w:val="24"/>
        </w:rPr>
        <w:t>（作者：宋体</w:t>
      </w:r>
      <w:r>
        <w:rPr>
          <w:rFonts w:ascii="Times New Roman" w:eastAsia="宋体" w:hAnsi="Times New Roman" w:cs="Times New Roman"/>
          <w:szCs w:val="24"/>
        </w:rPr>
        <w:t xml:space="preserve"> </w:t>
      </w:r>
      <w:r>
        <w:rPr>
          <w:rFonts w:ascii="Times New Roman" w:eastAsia="宋体" w:hAnsi="Times New Roman" w:cs="Times New Roman"/>
          <w:szCs w:val="24"/>
        </w:rPr>
        <w:t>五号</w:t>
      </w:r>
      <w:r>
        <w:rPr>
          <w:rFonts w:ascii="Times New Roman" w:eastAsia="宋体" w:hAnsi="Times New Roman" w:cs="Times New Roman"/>
          <w:szCs w:val="24"/>
        </w:rPr>
        <w:t xml:space="preserve"> </w:t>
      </w:r>
      <w:r>
        <w:rPr>
          <w:rFonts w:ascii="Times New Roman" w:eastAsia="宋体" w:hAnsi="Times New Roman" w:cs="Times New Roman"/>
          <w:szCs w:val="24"/>
        </w:rPr>
        <w:t>居中）</w:t>
      </w:r>
    </w:p>
    <w:p w14:paraId="629B44BF" w14:textId="77777777" w:rsidR="004A77A6" w:rsidRPr="0099639A" w:rsidRDefault="00000000" w:rsidP="0099639A">
      <w:pPr>
        <w:overflowPunct w:val="0"/>
        <w:topLinePunct/>
        <w:spacing w:line="440" w:lineRule="exact"/>
        <w:jc w:val="center"/>
        <w:rPr>
          <w:rFonts w:ascii="Times New Roman" w:eastAsia="宋体" w:hAnsi="Times New Roman" w:cs="Times New Roman"/>
          <w:spacing w:val="-2"/>
          <w:szCs w:val="24"/>
        </w:rPr>
      </w:pPr>
      <w:r w:rsidRPr="0099639A">
        <w:rPr>
          <w:rFonts w:ascii="Times New Roman" w:eastAsia="宋体" w:hAnsi="Times New Roman" w:cs="Times New Roman"/>
          <w:spacing w:val="-2"/>
        </w:rPr>
        <w:t>昆明医科大学药学院暨云南省天然药物药理重点实验室，云南昆明</w:t>
      </w:r>
      <w:r w:rsidRPr="0099639A">
        <w:rPr>
          <w:rFonts w:ascii="Times New Roman" w:eastAsia="宋体" w:hAnsi="Times New Roman" w:cs="Times New Roman"/>
          <w:spacing w:val="-2"/>
        </w:rPr>
        <w:t xml:space="preserve"> 65050</w:t>
      </w:r>
      <w:r w:rsidRPr="0099639A">
        <w:rPr>
          <w:rFonts w:ascii="Times New Roman" w:eastAsia="宋体" w:hAnsi="Times New Roman" w:cs="Times New Roman" w:hint="eastAsia"/>
          <w:spacing w:val="-2"/>
        </w:rPr>
        <w:t>0</w:t>
      </w:r>
      <w:r w:rsidRPr="0099639A">
        <w:rPr>
          <w:rFonts w:ascii="Times New Roman" w:eastAsia="宋体" w:hAnsi="Times New Roman" w:cs="Times New Roman"/>
          <w:spacing w:val="-2"/>
          <w:szCs w:val="24"/>
          <w:u w:val="single"/>
        </w:rPr>
        <w:t>（单位：宋体</w:t>
      </w:r>
      <w:r w:rsidRPr="0099639A">
        <w:rPr>
          <w:rFonts w:ascii="Times New Roman" w:eastAsia="宋体" w:hAnsi="Times New Roman" w:cs="Times New Roman"/>
          <w:spacing w:val="-2"/>
          <w:szCs w:val="24"/>
          <w:u w:val="single"/>
        </w:rPr>
        <w:t xml:space="preserve"> </w:t>
      </w:r>
      <w:r w:rsidRPr="0099639A">
        <w:rPr>
          <w:rFonts w:ascii="Times New Roman" w:eastAsia="宋体" w:hAnsi="Times New Roman" w:cs="Times New Roman"/>
          <w:spacing w:val="-2"/>
          <w:szCs w:val="24"/>
          <w:u w:val="single"/>
        </w:rPr>
        <w:t>五号</w:t>
      </w:r>
      <w:r w:rsidRPr="0099639A">
        <w:rPr>
          <w:rFonts w:ascii="Times New Roman" w:eastAsia="宋体" w:hAnsi="Times New Roman" w:cs="Times New Roman" w:hint="eastAsia"/>
          <w:spacing w:val="-2"/>
          <w:szCs w:val="24"/>
          <w:u w:val="single"/>
        </w:rPr>
        <w:t xml:space="preserve"> </w:t>
      </w:r>
      <w:r w:rsidRPr="0099639A">
        <w:rPr>
          <w:rFonts w:ascii="Times New Roman" w:eastAsia="宋体" w:hAnsi="Times New Roman" w:cs="Times New Roman"/>
          <w:spacing w:val="-2"/>
          <w:szCs w:val="24"/>
          <w:u w:val="single"/>
        </w:rPr>
        <w:t>居中）</w:t>
      </w:r>
    </w:p>
    <w:p w14:paraId="79A92F05" w14:textId="77777777" w:rsidR="004A77A6" w:rsidRPr="0099639A" w:rsidRDefault="00000000" w:rsidP="0099639A">
      <w:pPr>
        <w:overflowPunct w:val="0"/>
        <w:topLinePunct/>
        <w:spacing w:line="360" w:lineRule="auto"/>
        <w:rPr>
          <w:rFonts w:ascii="Times New Roman" w:eastAsia="宋体" w:hAnsi="Times New Roman" w:cs="Times New Roman"/>
          <w:spacing w:val="-2"/>
          <w:sz w:val="24"/>
          <w:szCs w:val="24"/>
        </w:rPr>
      </w:pPr>
      <w:r w:rsidRPr="0099639A">
        <w:rPr>
          <w:rFonts w:ascii="宋体" w:eastAsia="宋体" w:hAnsi="Times New Roman" w:cs="宋体" w:hint="eastAsia"/>
          <w:b/>
          <w:bCs/>
          <w:spacing w:val="-2"/>
          <w:sz w:val="24"/>
          <w:szCs w:val="24"/>
        </w:rPr>
        <w:t>[</w:t>
      </w:r>
      <w:r w:rsidRPr="0099639A">
        <w:rPr>
          <w:rFonts w:ascii="宋体" w:eastAsia="宋体" w:hAnsi="Times New Roman" w:cs="宋体"/>
          <w:b/>
          <w:bCs/>
          <w:spacing w:val="-2"/>
          <w:sz w:val="24"/>
          <w:szCs w:val="24"/>
        </w:rPr>
        <w:t>摘要</w:t>
      </w:r>
      <w:r w:rsidRPr="0099639A">
        <w:rPr>
          <w:rFonts w:ascii="宋体" w:eastAsia="宋体" w:hAnsi="Times New Roman" w:cs="宋体" w:hint="eastAsia"/>
          <w:b/>
          <w:bCs/>
          <w:spacing w:val="-2"/>
          <w:sz w:val="24"/>
          <w:szCs w:val="24"/>
        </w:rPr>
        <w:t>] （</w:t>
      </w:r>
      <w:r w:rsidRPr="0099639A">
        <w:rPr>
          <w:rFonts w:ascii="Calibri" w:eastAsia="等线" w:hAnsi="Calibri" w:cs="宋体" w:hint="eastAsia"/>
          <w:spacing w:val="-2"/>
          <w:sz w:val="24"/>
          <w:szCs w:val="24"/>
          <w:u w:val="single"/>
        </w:rPr>
        <w:t>8</w:t>
      </w:r>
      <w:r w:rsidRPr="0099639A">
        <w:rPr>
          <w:rFonts w:ascii="Calibri" w:eastAsia="Calibri" w:hAnsi="Calibri" w:cs="宋体"/>
          <w:spacing w:val="-2"/>
          <w:sz w:val="24"/>
          <w:szCs w:val="24"/>
          <w:u w:val="single"/>
        </w:rPr>
        <w:t xml:space="preserve">00 </w:t>
      </w:r>
      <w:r w:rsidRPr="0099639A">
        <w:rPr>
          <w:rFonts w:ascii="宋体" w:eastAsia="宋体" w:hAnsi="Times New Roman" w:cs="宋体"/>
          <w:spacing w:val="-2"/>
          <w:sz w:val="24"/>
          <w:szCs w:val="24"/>
          <w:u w:val="single"/>
        </w:rPr>
        <w:t xml:space="preserve">字以内，宋体 小四号 </w:t>
      </w:r>
      <w:r w:rsidRPr="0099639A">
        <w:rPr>
          <w:rFonts w:ascii="Calibri" w:eastAsia="Calibri" w:hAnsi="Calibri" w:cs="宋体"/>
          <w:spacing w:val="-2"/>
          <w:sz w:val="24"/>
          <w:szCs w:val="24"/>
          <w:u w:val="single"/>
        </w:rPr>
        <w:t xml:space="preserve">1.5 </w:t>
      </w:r>
      <w:r w:rsidRPr="0099639A">
        <w:rPr>
          <w:rFonts w:ascii="宋体" w:eastAsia="宋体" w:hAnsi="Times New Roman" w:cs="宋体"/>
          <w:spacing w:val="-2"/>
          <w:sz w:val="24"/>
          <w:szCs w:val="24"/>
          <w:u w:val="single"/>
        </w:rPr>
        <w:t>倍行距）</w:t>
      </w:r>
      <w:r w:rsidRPr="0099639A">
        <w:rPr>
          <w:rFonts w:ascii="Times New Roman" w:eastAsia="宋体" w:hAnsi="Times New Roman" w:cs="Times New Roman"/>
          <w:b/>
          <w:bCs/>
          <w:spacing w:val="-2"/>
          <w:sz w:val="24"/>
          <w:szCs w:val="24"/>
        </w:rPr>
        <w:t>目的：</w:t>
      </w:r>
      <w:r w:rsidRPr="0099639A">
        <w:rPr>
          <w:rFonts w:ascii="Times New Roman" w:eastAsia="宋体" w:hAnsi="Times New Roman" w:cs="Times New Roman"/>
          <w:spacing w:val="-2"/>
          <w:sz w:val="24"/>
          <w:szCs w:val="24"/>
        </w:rPr>
        <w:t>獐牙菜苦苷（</w:t>
      </w:r>
      <w:r w:rsidRPr="0099639A">
        <w:rPr>
          <w:rFonts w:ascii="Times New Roman" w:eastAsia="宋体" w:hAnsi="Times New Roman" w:cs="Times New Roman"/>
          <w:spacing w:val="-2"/>
          <w:sz w:val="24"/>
          <w:szCs w:val="24"/>
        </w:rPr>
        <w:t>Swertiamarin</w:t>
      </w:r>
      <w:r w:rsidRPr="0099639A">
        <w:rPr>
          <w:rFonts w:ascii="Times New Roman" w:eastAsia="宋体" w:hAnsi="Times New Roman" w:cs="Times New Roman"/>
          <w:spacing w:val="-2"/>
          <w:sz w:val="24"/>
          <w:szCs w:val="24"/>
        </w:rPr>
        <w:t>，</w:t>
      </w:r>
      <w:r w:rsidRPr="0099639A">
        <w:rPr>
          <w:rFonts w:ascii="Times New Roman" w:eastAsia="宋体" w:hAnsi="Times New Roman" w:cs="Times New Roman"/>
          <w:spacing w:val="-2"/>
          <w:sz w:val="24"/>
          <w:szCs w:val="24"/>
        </w:rPr>
        <w:t>SW</w:t>
      </w:r>
      <w:r w:rsidRPr="0099639A">
        <w:rPr>
          <w:rFonts w:ascii="Times New Roman" w:eastAsia="宋体" w:hAnsi="Times New Roman" w:cs="Times New Roman"/>
          <w:spacing w:val="-2"/>
          <w:sz w:val="24"/>
          <w:szCs w:val="24"/>
        </w:rPr>
        <w:t>）属于环烯醚萜苷类化合物，具有抗氧化、抗炎、治疗关节炎和抗糖尿病等作用，本研究通过体内外模型研究</w:t>
      </w:r>
      <w:r w:rsidRPr="0099639A">
        <w:rPr>
          <w:rFonts w:ascii="Times New Roman" w:eastAsia="宋体" w:hAnsi="Times New Roman" w:cs="Times New Roman"/>
          <w:spacing w:val="-2"/>
          <w:sz w:val="24"/>
          <w:szCs w:val="24"/>
        </w:rPr>
        <w:t>SW</w:t>
      </w:r>
      <w:r w:rsidRPr="0099639A">
        <w:rPr>
          <w:rFonts w:ascii="Times New Roman" w:eastAsia="宋体" w:hAnsi="Times New Roman" w:cs="Times New Roman"/>
          <w:spacing w:val="-2"/>
          <w:sz w:val="24"/>
          <w:szCs w:val="24"/>
        </w:rPr>
        <w:t>对脂多糖诱导的</w:t>
      </w:r>
      <w:r w:rsidRPr="0099639A">
        <w:rPr>
          <w:rFonts w:ascii="Times New Roman" w:eastAsia="宋体" w:hAnsi="Times New Roman" w:cs="Times New Roman"/>
          <w:spacing w:val="-2"/>
          <w:sz w:val="24"/>
          <w:szCs w:val="24"/>
        </w:rPr>
        <w:t>ALI</w:t>
      </w:r>
      <w:r w:rsidRPr="0099639A">
        <w:rPr>
          <w:rFonts w:ascii="Times New Roman" w:eastAsia="宋体" w:hAnsi="Times New Roman" w:cs="Times New Roman"/>
          <w:spacing w:val="-2"/>
          <w:sz w:val="24"/>
          <w:szCs w:val="24"/>
        </w:rPr>
        <w:t>的保护作用</w:t>
      </w:r>
      <w:r w:rsidRPr="0099639A">
        <w:rPr>
          <w:rFonts w:ascii="Times New Roman" w:eastAsia="宋体" w:hAnsi="Times New Roman" w:cs="Times New Roman" w:hint="eastAsia"/>
          <w:spacing w:val="-2"/>
          <w:sz w:val="24"/>
          <w:szCs w:val="24"/>
        </w:rPr>
        <w:t>，并初步探讨其作用机制</w:t>
      </w:r>
      <w:r w:rsidRPr="0099639A">
        <w:rPr>
          <w:rFonts w:ascii="Times New Roman" w:eastAsia="宋体" w:hAnsi="Times New Roman" w:cs="Times New Roman"/>
          <w:spacing w:val="-2"/>
          <w:sz w:val="24"/>
          <w:szCs w:val="24"/>
        </w:rPr>
        <w:t>。</w:t>
      </w:r>
      <w:r w:rsidRPr="0099639A">
        <w:rPr>
          <w:rFonts w:ascii="Times New Roman" w:eastAsia="宋体" w:hAnsi="Times New Roman" w:cs="Times New Roman"/>
          <w:b/>
          <w:bCs/>
          <w:spacing w:val="-2"/>
          <w:sz w:val="24"/>
          <w:szCs w:val="24"/>
        </w:rPr>
        <w:t>方法：</w:t>
      </w:r>
      <w:r w:rsidRPr="0099639A">
        <w:rPr>
          <w:rFonts w:ascii="Times New Roman" w:eastAsia="宋体" w:hAnsi="Times New Roman" w:cs="Times New Roman"/>
          <w:spacing w:val="-2"/>
          <w:sz w:val="24"/>
          <w:szCs w:val="24"/>
        </w:rPr>
        <w:t xml:space="preserve">1. </w:t>
      </w:r>
      <w:r w:rsidRPr="0099639A">
        <w:rPr>
          <w:rFonts w:ascii="Times New Roman" w:eastAsia="宋体" w:hAnsi="Times New Roman" w:cs="Times New Roman"/>
          <w:spacing w:val="-2"/>
          <w:sz w:val="24"/>
          <w:szCs w:val="24"/>
        </w:rPr>
        <w:t>复制脂多糖诱导小鼠急性肺损伤模型，通过计算小鼠肺系数和组织病理学（</w:t>
      </w:r>
      <w:r w:rsidRPr="0099639A">
        <w:rPr>
          <w:rFonts w:ascii="Times New Roman" w:eastAsia="宋体" w:hAnsi="Times New Roman" w:cs="Times New Roman"/>
          <w:spacing w:val="-2"/>
          <w:sz w:val="24"/>
          <w:szCs w:val="24"/>
        </w:rPr>
        <w:t>HE</w:t>
      </w:r>
      <w:r w:rsidRPr="0099639A">
        <w:rPr>
          <w:rFonts w:ascii="Times New Roman" w:eastAsia="宋体" w:hAnsi="Times New Roman" w:cs="Times New Roman"/>
          <w:spacing w:val="-2"/>
          <w:sz w:val="24"/>
          <w:szCs w:val="24"/>
        </w:rPr>
        <w:t>染色）评估小鼠肺组织损伤程度，采用</w:t>
      </w:r>
      <w:r w:rsidRPr="0099639A">
        <w:rPr>
          <w:rFonts w:ascii="Times New Roman" w:eastAsia="宋体" w:hAnsi="Times New Roman" w:cs="Times New Roman"/>
          <w:spacing w:val="-2"/>
          <w:sz w:val="24"/>
          <w:szCs w:val="24"/>
        </w:rPr>
        <w:t>ELISA</w:t>
      </w:r>
      <w:r w:rsidRPr="0099639A">
        <w:rPr>
          <w:rFonts w:ascii="Times New Roman" w:eastAsia="宋体" w:hAnsi="Times New Roman" w:cs="Times New Roman"/>
          <w:spacing w:val="-2"/>
          <w:sz w:val="24"/>
          <w:szCs w:val="24"/>
        </w:rPr>
        <w:t>法评价</w:t>
      </w:r>
      <w:r w:rsidRPr="0099639A">
        <w:rPr>
          <w:rFonts w:ascii="Times New Roman" w:eastAsia="宋体" w:hAnsi="Times New Roman" w:cs="Times New Roman"/>
          <w:spacing w:val="-2"/>
          <w:sz w:val="24"/>
          <w:szCs w:val="24"/>
        </w:rPr>
        <w:t>SW</w:t>
      </w:r>
      <w:r w:rsidRPr="0099639A">
        <w:rPr>
          <w:rFonts w:ascii="Times New Roman" w:eastAsia="宋体" w:hAnsi="Times New Roman" w:cs="Times New Roman"/>
          <w:spacing w:val="-2"/>
          <w:sz w:val="24"/>
          <w:szCs w:val="24"/>
        </w:rPr>
        <w:t>对炎症细胞因子水平的影响、生化试剂盒评价氧化应激指标，采用</w:t>
      </w:r>
      <w:r w:rsidRPr="0099639A">
        <w:rPr>
          <w:rFonts w:ascii="Times New Roman" w:eastAsia="宋体" w:hAnsi="Times New Roman" w:cs="Times New Roman"/>
          <w:spacing w:val="-2"/>
          <w:sz w:val="24"/>
          <w:szCs w:val="24"/>
        </w:rPr>
        <w:t>RT-PCR</w:t>
      </w:r>
      <w:r w:rsidRPr="0099639A">
        <w:rPr>
          <w:rFonts w:ascii="Times New Roman" w:eastAsia="宋体" w:hAnsi="Times New Roman" w:cs="Times New Roman"/>
          <w:spacing w:val="-2"/>
          <w:sz w:val="24"/>
          <w:szCs w:val="24"/>
        </w:rPr>
        <w:t>和</w:t>
      </w:r>
      <w:r w:rsidRPr="0099639A">
        <w:rPr>
          <w:rFonts w:ascii="Times New Roman" w:eastAsia="宋体" w:hAnsi="Times New Roman" w:cs="Times New Roman"/>
          <w:spacing w:val="-2"/>
          <w:sz w:val="24"/>
          <w:szCs w:val="24"/>
        </w:rPr>
        <w:t xml:space="preserve">Western blot </w:t>
      </w:r>
      <w:r w:rsidRPr="0099639A">
        <w:rPr>
          <w:rFonts w:ascii="Times New Roman" w:eastAsia="宋体" w:hAnsi="Times New Roman" w:cs="Times New Roman"/>
          <w:spacing w:val="-2"/>
          <w:sz w:val="24"/>
          <w:szCs w:val="24"/>
        </w:rPr>
        <w:t>法检测相关通路蛋白和基因的表达，评价</w:t>
      </w:r>
      <w:r w:rsidRPr="0099639A">
        <w:rPr>
          <w:rFonts w:ascii="Times New Roman" w:eastAsia="宋体" w:hAnsi="Times New Roman" w:cs="Times New Roman"/>
          <w:spacing w:val="-2"/>
          <w:sz w:val="24"/>
          <w:szCs w:val="24"/>
        </w:rPr>
        <w:t>SW</w:t>
      </w:r>
      <w:r w:rsidRPr="0099639A">
        <w:rPr>
          <w:rFonts w:ascii="Times New Roman" w:eastAsia="宋体" w:hAnsi="Times New Roman" w:cs="Times New Roman"/>
          <w:spacing w:val="-2"/>
          <w:sz w:val="24"/>
          <w:szCs w:val="24"/>
        </w:rPr>
        <w:t>体内抗炎作用；</w:t>
      </w:r>
      <w:r w:rsidRPr="0099639A">
        <w:rPr>
          <w:rFonts w:ascii="Times New Roman" w:eastAsia="宋体" w:hAnsi="Times New Roman" w:cs="Times New Roman"/>
          <w:spacing w:val="-2"/>
          <w:sz w:val="24"/>
          <w:szCs w:val="24"/>
        </w:rPr>
        <w:t xml:space="preserve">2. </w:t>
      </w:r>
      <w:r w:rsidRPr="0099639A">
        <w:rPr>
          <w:rFonts w:ascii="Times New Roman" w:eastAsia="宋体" w:hAnsi="Times New Roman" w:cs="Times New Roman"/>
          <w:spacing w:val="-2"/>
          <w:sz w:val="24"/>
          <w:szCs w:val="24"/>
        </w:rPr>
        <w:t>在</w:t>
      </w:r>
      <w:r w:rsidRPr="0099639A">
        <w:rPr>
          <w:rFonts w:ascii="Times New Roman" w:eastAsia="宋体" w:hAnsi="Times New Roman" w:cs="Times New Roman"/>
          <w:spacing w:val="-2"/>
          <w:sz w:val="24"/>
          <w:szCs w:val="24"/>
        </w:rPr>
        <w:t>LPS</w:t>
      </w:r>
      <w:r w:rsidRPr="0099639A">
        <w:rPr>
          <w:rFonts w:ascii="Times New Roman" w:eastAsia="宋体" w:hAnsi="Times New Roman" w:cs="Times New Roman"/>
          <w:spacing w:val="-2"/>
          <w:sz w:val="24"/>
          <w:szCs w:val="24"/>
        </w:rPr>
        <w:t>诱导的</w:t>
      </w:r>
      <w:r w:rsidRPr="0099639A">
        <w:rPr>
          <w:rFonts w:ascii="Times New Roman" w:eastAsia="宋体" w:hAnsi="Times New Roman" w:cs="Times New Roman"/>
          <w:spacing w:val="-2"/>
          <w:sz w:val="24"/>
          <w:szCs w:val="24"/>
        </w:rPr>
        <w:t>RAW264.7</w:t>
      </w:r>
      <w:r w:rsidRPr="0099639A">
        <w:rPr>
          <w:rFonts w:ascii="Times New Roman" w:eastAsia="宋体" w:hAnsi="Times New Roman" w:cs="Times New Roman"/>
          <w:spacing w:val="-2"/>
          <w:sz w:val="24"/>
          <w:szCs w:val="24"/>
        </w:rPr>
        <w:t>细胞炎症模型上，采用</w:t>
      </w:r>
      <w:r w:rsidRPr="0099639A">
        <w:rPr>
          <w:rFonts w:ascii="Times New Roman" w:eastAsia="宋体" w:hAnsi="Times New Roman" w:cs="Times New Roman"/>
          <w:spacing w:val="-2"/>
          <w:sz w:val="24"/>
          <w:szCs w:val="24"/>
        </w:rPr>
        <w:t>ELISA</w:t>
      </w:r>
      <w:r w:rsidRPr="0099639A">
        <w:rPr>
          <w:rFonts w:ascii="Times New Roman" w:eastAsia="宋体" w:hAnsi="Times New Roman" w:cs="Times New Roman"/>
          <w:spacing w:val="-2"/>
          <w:sz w:val="24"/>
          <w:szCs w:val="24"/>
        </w:rPr>
        <w:t>法评价</w:t>
      </w:r>
      <w:r w:rsidRPr="0099639A">
        <w:rPr>
          <w:rFonts w:ascii="Times New Roman" w:eastAsia="宋体" w:hAnsi="Times New Roman" w:cs="Times New Roman"/>
          <w:spacing w:val="-2"/>
          <w:sz w:val="24"/>
          <w:szCs w:val="24"/>
        </w:rPr>
        <w:t>SW</w:t>
      </w:r>
      <w:r w:rsidRPr="0099639A">
        <w:rPr>
          <w:rFonts w:ascii="Times New Roman" w:eastAsia="宋体" w:hAnsi="Times New Roman" w:cs="Times New Roman"/>
          <w:spacing w:val="-2"/>
          <w:sz w:val="24"/>
          <w:szCs w:val="24"/>
        </w:rPr>
        <w:t>对炎症细胞因子水平的影响、生化试剂盒评价氧化应激指标，采用</w:t>
      </w:r>
      <w:r w:rsidRPr="0099639A">
        <w:rPr>
          <w:rFonts w:ascii="Times New Roman" w:eastAsia="宋体" w:hAnsi="Times New Roman" w:cs="Times New Roman"/>
          <w:spacing w:val="-2"/>
          <w:sz w:val="24"/>
          <w:szCs w:val="24"/>
        </w:rPr>
        <w:t>RT-PCR</w:t>
      </w:r>
      <w:r w:rsidRPr="0099639A">
        <w:rPr>
          <w:rFonts w:ascii="Times New Roman" w:eastAsia="宋体" w:hAnsi="Times New Roman" w:cs="Times New Roman"/>
          <w:spacing w:val="-2"/>
          <w:sz w:val="24"/>
          <w:szCs w:val="24"/>
        </w:rPr>
        <w:t>和</w:t>
      </w:r>
      <w:r w:rsidRPr="0099639A">
        <w:rPr>
          <w:rFonts w:ascii="Times New Roman" w:eastAsia="宋体" w:hAnsi="Times New Roman" w:cs="Times New Roman"/>
          <w:spacing w:val="-2"/>
          <w:sz w:val="24"/>
          <w:szCs w:val="24"/>
        </w:rPr>
        <w:t xml:space="preserve">Western blot </w:t>
      </w:r>
      <w:r w:rsidRPr="0099639A">
        <w:rPr>
          <w:rFonts w:ascii="Times New Roman" w:eastAsia="宋体" w:hAnsi="Times New Roman" w:cs="Times New Roman"/>
          <w:spacing w:val="-2"/>
          <w:sz w:val="24"/>
          <w:szCs w:val="24"/>
        </w:rPr>
        <w:t>法检测相关通路蛋白和基因的表达检测炎症细胞因子水平，评价獐牙菜苦苷的体外抗炎作用；</w:t>
      </w:r>
      <w:r w:rsidRPr="0099639A">
        <w:rPr>
          <w:rFonts w:ascii="Times New Roman" w:eastAsia="宋体" w:hAnsi="Times New Roman" w:cs="Times New Roman"/>
          <w:b/>
          <w:bCs/>
          <w:spacing w:val="-2"/>
          <w:sz w:val="24"/>
          <w:szCs w:val="24"/>
        </w:rPr>
        <w:t>结果：</w:t>
      </w:r>
      <w:r w:rsidRPr="0099639A">
        <w:rPr>
          <w:rFonts w:ascii="Times New Roman" w:eastAsia="宋体" w:hAnsi="Times New Roman" w:cs="Times New Roman"/>
          <w:spacing w:val="-2"/>
          <w:sz w:val="24"/>
          <w:szCs w:val="24"/>
        </w:rPr>
        <w:t>SW</w:t>
      </w:r>
      <w:r w:rsidRPr="0099639A">
        <w:rPr>
          <w:rFonts w:ascii="Times New Roman" w:eastAsia="宋体" w:hAnsi="Times New Roman" w:cs="Times New Roman"/>
          <w:spacing w:val="-2"/>
          <w:sz w:val="24"/>
          <w:szCs w:val="24"/>
        </w:rPr>
        <w:t>可在体内外调控</w:t>
      </w:r>
      <w:r w:rsidRPr="0099639A">
        <w:rPr>
          <w:rFonts w:ascii="Times New Roman" w:eastAsia="宋体" w:hAnsi="Times New Roman" w:cs="Times New Roman"/>
          <w:spacing w:val="-2"/>
          <w:sz w:val="24"/>
          <w:szCs w:val="24"/>
        </w:rPr>
        <w:t>NLRP3</w:t>
      </w:r>
      <w:r w:rsidRPr="0099639A">
        <w:rPr>
          <w:rFonts w:ascii="Times New Roman" w:eastAsia="宋体" w:hAnsi="Times New Roman" w:cs="Times New Roman"/>
          <w:spacing w:val="-2"/>
          <w:sz w:val="24"/>
          <w:szCs w:val="24"/>
        </w:rPr>
        <w:t>、</w:t>
      </w:r>
      <w:r w:rsidRPr="0099639A">
        <w:rPr>
          <w:rFonts w:ascii="Times New Roman" w:eastAsia="宋体" w:hAnsi="Times New Roman" w:cs="Times New Roman"/>
          <w:spacing w:val="-2"/>
          <w:sz w:val="24"/>
          <w:szCs w:val="24"/>
        </w:rPr>
        <w:t>TLR4</w:t>
      </w:r>
      <w:r w:rsidRPr="0099639A">
        <w:rPr>
          <w:rFonts w:ascii="Times New Roman" w:eastAsia="宋体" w:hAnsi="Times New Roman" w:cs="Times New Roman"/>
          <w:spacing w:val="-2"/>
          <w:sz w:val="24"/>
          <w:szCs w:val="24"/>
        </w:rPr>
        <w:t>、</w:t>
      </w:r>
      <w:r w:rsidRPr="0099639A">
        <w:rPr>
          <w:rFonts w:ascii="Times New Roman" w:eastAsia="宋体" w:hAnsi="Times New Roman" w:cs="Times New Roman"/>
          <w:spacing w:val="-2"/>
          <w:sz w:val="24"/>
          <w:szCs w:val="24"/>
        </w:rPr>
        <w:t>NF-κBp65</w:t>
      </w:r>
      <w:r w:rsidRPr="0099639A">
        <w:rPr>
          <w:rFonts w:ascii="Times New Roman" w:eastAsia="宋体" w:hAnsi="Times New Roman" w:cs="Times New Roman"/>
          <w:spacing w:val="-2"/>
          <w:sz w:val="24"/>
          <w:szCs w:val="24"/>
        </w:rPr>
        <w:t>和</w:t>
      </w:r>
      <w:r w:rsidRPr="0099639A">
        <w:rPr>
          <w:rFonts w:ascii="Times New Roman" w:eastAsia="宋体" w:hAnsi="Times New Roman" w:cs="Times New Roman"/>
          <w:spacing w:val="-2"/>
          <w:sz w:val="24"/>
          <w:szCs w:val="24"/>
        </w:rPr>
        <w:t>MAPK</w:t>
      </w:r>
      <w:r w:rsidRPr="0099639A">
        <w:rPr>
          <w:rFonts w:ascii="Times New Roman" w:eastAsia="宋体" w:hAnsi="Times New Roman" w:cs="Times New Roman"/>
          <w:spacing w:val="-2"/>
          <w:sz w:val="24"/>
          <w:szCs w:val="24"/>
        </w:rPr>
        <w:t>的表达，抑制</w:t>
      </w:r>
      <w:r w:rsidRPr="0099639A">
        <w:rPr>
          <w:rFonts w:ascii="Times New Roman" w:eastAsia="宋体" w:hAnsi="Times New Roman" w:cs="Times New Roman"/>
          <w:spacing w:val="-2"/>
          <w:sz w:val="24"/>
          <w:szCs w:val="24"/>
        </w:rPr>
        <w:t>TNF-α</w:t>
      </w:r>
      <w:r w:rsidRPr="0099639A">
        <w:rPr>
          <w:rFonts w:ascii="Times New Roman" w:eastAsia="宋体" w:hAnsi="Times New Roman" w:cs="Times New Roman"/>
          <w:spacing w:val="-2"/>
          <w:sz w:val="24"/>
          <w:szCs w:val="24"/>
        </w:rPr>
        <w:t>、</w:t>
      </w:r>
      <w:r w:rsidRPr="0099639A">
        <w:rPr>
          <w:rFonts w:ascii="Times New Roman" w:eastAsia="宋体" w:hAnsi="Times New Roman" w:cs="Times New Roman"/>
          <w:spacing w:val="-2"/>
          <w:sz w:val="24"/>
          <w:szCs w:val="24"/>
        </w:rPr>
        <w:t>IL-1β</w:t>
      </w:r>
      <w:r w:rsidRPr="0099639A">
        <w:rPr>
          <w:rFonts w:ascii="Times New Roman" w:eastAsia="宋体" w:hAnsi="Times New Roman" w:cs="Times New Roman"/>
          <w:spacing w:val="-2"/>
          <w:sz w:val="24"/>
          <w:szCs w:val="24"/>
        </w:rPr>
        <w:t>和</w:t>
      </w:r>
      <w:r w:rsidRPr="0099639A">
        <w:rPr>
          <w:rFonts w:ascii="Times New Roman" w:eastAsia="宋体" w:hAnsi="Times New Roman" w:cs="Times New Roman"/>
          <w:spacing w:val="-2"/>
          <w:sz w:val="24"/>
          <w:szCs w:val="24"/>
        </w:rPr>
        <w:t>IL-6</w:t>
      </w:r>
      <w:r w:rsidRPr="0099639A">
        <w:rPr>
          <w:rFonts w:ascii="Times New Roman" w:eastAsia="宋体" w:hAnsi="Times New Roman" w:cs="Times New Roman"/>
          <w:spacing w:val="-2"/>
          <w:sz w:val="24"/>
          <w:szCs w:val="24"/>
        </w:rPr>
        <w:t>的释放，减少</w:t>
      </w:r>
      <w:r w:rsidRPr="0099639A">
        <w:rPr>
          <w:rFonts w:ascii="Times New Roman" w:eastAsia="宋体" w:hAnsi="Times New Roman" w:cs="Times New Roman"/>
          <w:spacing w:val="-2"/>
          <w:sz w:val="24"/>
          <w:szCs w:val="24"/>
        </w:rPr>
        <w:t>MDA</w:t>
      </w:r>
      <w:r w:rsidRPr="0099639A">
        <w:rPr>
          <w:rFonts w:ascii="Times New Roman" w:eastAsia="宋体" w:hAnsi="Times New Roman" w:cs="Times New Roman"/>
          <w:spacing w:val="-2"/>
          <w:sz w:val="24"/>
          <w:szCs w:val="24"/>
        </w:rPr>
        <w:t>和</w:t>
      </w:r>
      <w:r w:rsidRPr="0099639A">
        <w:rPr>
          <w:rFonts w:ascii="Times New Roman" w:eastAsia="宋体" w:hAnsi="Times New Roman" w:cs="Times New Roman"/>
          <w:spacing w:val="-2"/>
          <w:sz w:val="24"/>
          <w:szCs w:val="24"/>
        </w:rPr>
        <w:t>ROS</w:t>
      </w:r>
      <w:r w:rsidRPr="0099639A">
        <w:rPr>
          <w:rFonts w:ascii="Times New Roman" w:eastAsia="宋体" w:hAnsi="Times New Roman" w:cs="Times New Roman"/>
          <w:spacing w:val="-2"/>
          <w:sz w:val="24"/>
          <w:szCs w:val="24"/>
        </w:rPr>
        <w:t>含量，抑制氧化应激的发生。</w:t>
      </w:r>
      <w:r w:rsidRPr="0099639A">
        <w:rPr>
          <w:rFonts w:ascii="Times New Roman" w:eastAsia="宋体" w:hAnsi="Times New Roman" w:cs="Times New Roman"/>
          <w:b/>
          <w:bCs/>
          <w:spacing w:val="-2"/>
          <w:sz w:val="24"/>
          <w:szCs w:val="24"/>
        </w:rPr>
        <w:t>结论：</w:t>
      </w:r>
      <w:r w:rsidRPr="0099639A">
        <w:rPr>
          <w:rFonts w:ascii="Times New Roman" w:eastAsia="宋体" w:hAnsi="Times New Roman" w:cs="Times New Roman"/>
          <w:spacing w:val="-2"/>
          <w:sz w:val="24"/>
          <w:szCs w:val="24"/>
        </w:rPr>
        <w:t>獐牙菜苦苷可能通过调控</w:t>
      </w:r>
      <w:r w:rsidRPr="0099639A">
        <w:rPr>
          <w:rFonts w:ascii="Times New Roman" w:eastAsia="宋体" w:hAnsi="Times New Roman" w:cs="Times New Roman"/>
          <w:spacing w:val="-2"/>
          <w:sz w:val="24"/>
          <w:szCs w:val="24"/>
        </w:rPr>
        <w:t>TLR4/NF-κB</w:t>
      </w:r>
      <w:r w:rsidRPr="0099639A">
        <w:rPr>
          <w:rFonts w:ascii="Times New Roman" w:eastAsia="宋体" w:hAnsi="Times New Roman" w:cs="Times New Roman"/>
          <w:spacing w:val="-2"/>
          <w:sz w:val="24"/>
          <w:szCs w:val="24"/>
        </w:rPr>
        <w:t>和</w:t>
      </w:r>
      <w:r w:rsidRPr="0099639A">
        <w:rPr>
          <w:rFonts w:ascii="Times New Roman" w:eastAsia="宋体" w:hAnsi="Times New Roman" w:cs="Times New Roman"/>
          <w:spacing w:val="-2"/>
          <w:sz w:val="24"/>
          <w:szCs w:val="24"/>
        </w:rPr>
        <w:t>MAPK</w:t>
      </w:r>
      <w:r w:rsidRPr="0099639A">
        <w:rPr>
          <w:rFonts w:ascii="Times New Roman" w:eastAsia="宋体" w:hAnsi="Times New Roman" w:cs="Times New Roman"/>
          <w:spacing w:val="-2"/>
          <w:sz w:val="24"/>
          <w:szCs w:val="24"/>
        </w:rPr>
        <w:t>信号通路缓解</w:t>
      </w:r>
      <w:r w:rsidRPr="0099639A">
        <w:rPr>
          <w:rFonts w:ascii="Times New Roman" w:eastAsia="宋体" w:hAnsi="Times New Roman" w:cs="Times New Roman"/>
          <w:spacing w:val="-2"/>
          <w:sz w:val="24"/>
          <w:szCs w:val="24"/>
        </w:rPr>
        <w:t>LPS</w:t>
      </w:r>
      <w:r w:rsidRPr="0099639A">
        <w:rPr>
          <w:rFonts w:ascii="Times New Roman" w:eastAsia="宋体" w:hAnsi="Times New Roman" w:cs="Times New Roman"/>
          <w:spacing w:val="-2"/>
          <w:sz w:val="24"/>
          <w:szCs w:val="24"/>
        </w:rPr>
        <w:t>诱导的急性肺损伤。</w:t>
      </w:r>
    </w:p>
    <w:p w14:paraId="6A7DD8A3" w14:textId="31D96242" w:rsidR="004A77A6" w:rsidRDefault="00000000" w:rsidP="0099639A">
      <w:pPr>
        <w:overflowPunct w:val="0"/>
        <w:topLinePunct/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[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关键词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]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>3</w:t>
      </w:r>
      <w:r w:rsidR="0099639A">
        <w:rPr>
          <w:rFonts w:ascii="宋体" w:eastAsia="宋体" w:hAnsi="宋体" w:cs="Times New Roman" w:hint="eastAsia"/>
          <w:sz w:val="24"/>
          <w:szCs w:val="24"/>
        </w:rPr>
        <w:t>～</w:t>
      </w:r>
      <w:r>
        <w:rPr>
          <w:rFonts w:ascii="Times New Roman" w:eastAsia="宋体" w:hAnsi="Times New Roman" w:cs="Times New Roman" w:hint="eastAsia"/>
          <w:sz w:val="24"/>
          <w:szCs w:val="24"/>
        </w:rPr>
        <w:t>5</w:t>
      </w:r>
      <w:r>
        <w:rPr>
          <w:rFonts w:ascii="Times New Roman" w:eastAsia="宋体" w:hAnsi="Times New Roman" w:cs="Times New Roman"/>
          <w:sz w:val="24"/>
          <w:szCs w:val="24"/>
        </w:rPr>
        <w:t>个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（宋体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小四号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1.5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倍行距）</w:t>
      </w:r>
    </w:p>
    <w:p w14:paraId="78ECCEEF" w14:textId="10F7E4F0" w:rsidR="004A77A6" w:rsidRDefault="00000000" w:rsidP="0099639A">
      <w:pPr>
        <w:overflowPunct w:val="0"/>
        <w:topLinePunct/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[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通讯作者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] </w:t>
      </w:r>
      <w:r>
        <w:rPr>
          <w:rFonts w:ascii="宋体" w:eastAsia="宋体" w:hAnsi="Times New Roman" w:cs="Times New Roman" w:hint="eastAsia"/>
          <w:sz w:val="22"/>
          <w:szCs w:val="20"/>
        </w:rPr>
        <w:t>姓名，电子邮箱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（宋体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小四号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1.5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倍行距）</w:t>
      </w:r>
    </w:p>
    <w:p w14:paraId="48A7727A" w14:textId="4A5C3587" w:rsidR="004A77A6" w:rsidRDefault="00000000" w:rsidP="0099639A">
      <w:pPr>
        <w:overflowPunct w:val="0"/>
        <w:topLinePunct/>
        <w:spacing w:line="360" w:lineRule="auto"/>
        <w:rPr>
          <w:rFonts w:ascii="Times New Roman" w:eastAsia="宋体" w:hAnsi="Times New Roman" w:cs="Times New Roman"/>
          <w:b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[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基金项目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]</w:t>
      </w:r>
      <w:r>
        <w:rPr>
          <w:rFonts w:ascii="宋体" w:eastAsia="宋体" w:hAnsi="Times New Roman" w:cs="Times New Roman" w:hint="eastAsia"/>
          <w:b/>
          <w:bCs/>
          <w:sz w:val="22"/>
          <w:szCs w:val="20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（宋体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小四号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1.5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>倍行距）</w:t>
      </w:r>
      <w:bookmarkEnd w:id="0"/>
    </w:p>
    <w:sectPr w:rsidR="004A77A6">
      <w:pgSz w:w="11906" w:h="16838"/>
      <w:pgMar w:top="1304" w:right="1361" w:bottom="1134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06D4B"/>
    <w:multiLevelType w:val="singleLevel"/>
    <w:tmpl w:val="18806D4B"/>
    <w:lvl w:ilvl="0">
      <w:start w:val="1"/>
      <w:numFmt w:val="decimal"/>
      <w:suff w:val="space"/>
      <w:lvlText w:val="[%1]"/>
      <w:lvlJc w:val="left"/>
    </w:lvl>
  </w:abstractNum>
  <w:num w:numId="1" w16cid:durableId="1210650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QwZTcyYWMxYzY1NmNhYTdjODU0MjRmOWNjODE3ZmQifQ=="/>
  </w:docVars>
  <w:rsids>
    <w:rsidRoot w:val="00FB13FD"/>
    <w:rsid w:val="9F57F2A6"/>
    <w:rsid w:val="BBFBF88B"/>
    <w:rsid w:val="C73E3AA2"/>
    <w:rsid w:val="00035CDA"/>
    <w:rsid w:val="000F6B0C"/>
    <w:rsid w:val="00143156"/>
    <w:rsid w:val="0020653C"/>
    <w:rsid w:val="00255BE3"/>
    <w:rsid w:val="00280139"/>
    <w:rsid w:val="002C2FBF"/>
    <w:rsid w:val="003740F0"/>
    <w:rsid w:val="0037677B"/>
    <w:rsid w:val="00450370"/>
    <w:rsid w:val="004A77A6"/>
    <w:rsid w:val="004B4CFC"/>
    <w:rsid w:val="004B5DFA"/>
    <w:rsid w:val="005F3EC1"/>
    <w:rsid w:val="006069AE"/>
    <w:rsid w:val="006230E7"/>
    <w:rsid w:val="006256B7"/>
    <w:rsid w:val="006933AE"/>
    <w:rsid w:val="007C4FFF"/>
    <w:rsid w:val="0083409C"/>
    <w:rsid w:val="0088008B"/>
    <w:rsid w:val="008E5BC5"/>
    <w:rsid w:val="0099639A"/>
    <w:rsid w:val="009B50FC"/>
    <w:rsid w:val="009D453C"/>
    <w:rsid w:val="00AB48EF"/>
    <w:rsid w:val="00AC47D2"/>
    <w:rsid w:val="00AD3AB0"/>
    <w:rsid w:val="00BD0EFD"/>
    <w:rsid w:val="00C43C2C"/>
    <w:rsid w:val="00C77C03"/>
    <w:rsid w:val="00CD0DF0"/>
    <w:rsid w:val="00D566EF"/>
    <w:rsid w:val="00E85E89"/>
    <w:rsid w:val="00E927D4"/>
    <w:rsid w:val="00F433B1"/>
    <w:rsid w:val="00F75F6F"/>
    <w:rsid w:val="00F845A4"/>
    <w:rsid w:val="00FA5255"/>
    <w:rsid w:val="00FB13FD"/>
    <w:rsid w:val="00FE0668"/>
    <w:rsid w:val="06B1658C"/>
    <w:rsid w:val="0DC15CB0"/>
    <w:rsid w:val="128E47CB"/>
    <w:rsid w:val="1E2E1A92"/>
    <w:rsid w:val="2CDB51DF"/>
    <w:rsid w:val="31085C56"/>
    <w:rsid w:val="3C220E6D"/>
    <w:rsid w:val="403F2DC3"/>
    <w:rsid w:val="4041301D"/>
    <w:rsid w:val="4F7D990C"/>
    <w:rsid w:val="558C48E3"/>
    <w:rsid w:val="564E3121"/>
    <w:rsid w:val="7AFA596A"/>
    <w:rsid w:val="7BF8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C2490DA"/>
  <w15:docId w15:val="{03E3EC10-9B84-461B-9B73-E8A3FF527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ody Text"/>
    <w:basedOn w:val="a"/>
    <w:link w:val="a6"/>
    <w:autoRedefine/>
    <w:semiHidden/>
    <w:qFormat/>
    <w:pPr>
      <w:widowControl/>
      <w:kinsoku w:val="0"/>
      <w:autoSpaceDE w:val="0"/>
      <w:autoSpaceDN w:val="0"/>
      <w:adjustRightInd w:val="0"/>
      <w:snapToGrid w:val="0"/>
      <w:spacing w:line="360" w:lineRule="auto"/>
      <w:ind w:firstLineChars="200" w:firstLine="560"/>
      <w:textAlignment w:val="baseline"/>
    </w:pPr>
    <w:rPr>
      <w:rFonts w:ascii="Times New Roman" w:eastAsia="宋体" w:hAnsi="Times New Roman" w:cs="Times New Roman"/>
      <w:bCs/>
      <w:snapToGrid w:val="0"/>
      <w:kern w:val="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TableParagraph">
    <w:name w:val="Table Paragraph"/>
    <w:basedOn w:val="a"/>
    <w:autoRedefine/>
    <w:uiPriority w:val="1"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customStyle="1" w:styleId="a6">
    <w:name w:val="正文文本 字符"/>
    <w:basedOn w:val="a0"/>
    <w:link w:val="a5"/>
    <w:semiHidden/>
    <w:qFormat/>
    <w:rPr>
      <w:rFonts w:ascii="Times New Roman" w:eastAsia="宋体" w:hAnsi="Times New Roman" w:cs="Times New Roman"/>
      <w:bCs/>
      <w:snapToGrid w:val="0"/>
      <w:kern w:val="0"/>
      <w:sz w:val="28"/>
      <w:szCs w:val="28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</w:style>
  <w:style w:type="character" w:customStyle="1" w:styleId="ae">
    <w:name w:val="批注主题 字符"/>
    <w:basedOn w:val="a4"/>
    <w:link w:val="ad"/>
    <w:uiPriority w:val="99"/>
    <w:semiHidden/>
    <w:qFormat/>
    <w:rPr>
      <w:b/>
      <w:bCs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MINGJIA PAN</dc:creator>
  <cp:lastModifiedBy>张 尼古拉斯·迪奥·</cp:lastModifiedBy>
  <cp:revision>3</cp:revision>
  <cp:lastPrinted>2025-02-18T06:36:00Z</cp:lastPrinted>
  <dcterms:created xsi:type="dcterms:W3CDTF">2025-03-11T02:39:00Z</dcterms:created>
  <dcterms:modified xsi:type="dcterms:W3CDTF">2025-03-11T02:40:00Z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FE14DA6749864636B7A4013C001AABBA_13</vt:lpwstr>
  </property>
</Properties>
</file>